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E0E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общеобразовательных учреждениях городского округа </w:t>
      </w:r>
      <w:proofErr w:type="gramStart"/>
      <w:r w:rsidR="000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B2667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организации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6E27C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CE">
              <w:rPr>
                <w:rFonts w:ascii="Times New Roman" w:hAnsi="Times New Roman" w:cs="Times New Roman"/>
                <w:sz w:val="24"/>
                <w:szCs w:val="24"/>
              </w:rPr>
              <w:t>6600000010000075850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6E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</w:t>
            </w:r>
            <w:bookmarkStart w:id="0" w:name="_GoBack"/>
            <w:bookmarkEnd w:id="0"/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6E27CE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31.12.2015 № 1213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E27CE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от 27.04.2016,  26.01.2017 № 48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Основания для отказа в предоставлении муниципальной услуги: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1)при письменном обращении (в том числе, переданном по электронным каналам связи) Заявителя: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несоответствие письменного обращения требованиям, указанным в пункте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2.5.2 настоящего Административного регламента;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наличие нецензурных  либо оскорбительных выражений, угрозы жизни,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здоровью и имуществу Специалиста, а также членов его семьи;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 xml:space="preserve">текст письменного </w:t>
            </w:r>
            <w:r w:rsidRPr="003067D4">
              <w:rPr>
                <w:rStyle w:val="af2"/>
                <w:b w:val="0"/>
                <w:sz w:val="18"/>
                <w:szCs w:val="18"/>
              </w:rPr>
              <w:lastRenderedPageBreak/>
              <w:t>обращения не поддается прочтению, о чем сообщается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Управление образования, общеобразовательной организации;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письменный запрос содержит вопрос, на который заявителю многократно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 xml:space="preserve">давались письменные ответы по существу в связи с ранее направляемыми запросами, и при этом в запросе не приводятся новые доводы или обстоятельства. В этом случае исполнитель муниципальной услуги вправе принять решение о безосновательности очередного запроса и прекращении переписки с заявителем по </w:t>
            </w:r>
            <w:r w:rsidRPr="003067D4">
              <w:rPr>
                <w:rStyle w:val="af2"/>
                <w:b w:val="0"/>
                <w:sz w:val="18"/>
                <w:szCs w:val="18"/>
              </w:rPr>
              <w:lastRenderedPageBreak/>
              <w:t>данному вопросу при условии, что указанный запрос и ранее направляемые запросы направлялись одному и тому же исполнителю муниципальной услуги. О данном решении уведомляется гражданин, направивший запрос;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ответ по существу поставленного в обращении вопроса не может быть дан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без разглашения сведений, составляющих государственную или иную охраняемую законом тайну.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2) при устном обращении Заявителя: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несоответствие устного обращения требованиям, указанным в пункте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2.5.3 настоящего Административного регламента;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нецензурное, либо оскорбительное обращение со Специалистом, угрозы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 xml:space="preserve">жизни и здоровью и имуществу Специалиста, а </w:t>
            </w:r>
            <w:r w:rsidRPr="003067D4">
              <w:rPr>
                <w:rStyle w:val="af2"/>
                <w:b w:val="0"/>
                <w:sz w:val="18"/>
                <w:szCs w:val="18"/>
              </w:rPr>
              <w:lastRenderedPageBreak/>
              <w:t>также членов его семьи;</w:t>
            </w:r>
          </w:p>
          <w:p w:rsidR="003067D4" w:rsidRPr="00D45572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28"/>
                <w:szCs w:val="28"/>
              </w:rPr>
            </w:pPr>
            <w:r w:rsidRPr="003067D4">
              <w:rPr>
                <w:rStyle w:val="af2"/>
                <w:b w:val="0"/>
                <w:color w:val="FF0000"/>
                <w:sz w:val="18"/>
                <w:szCs w:val="18"/>
              </w:rPr>
              <w:t xml:space="preserve">       </w:t>
            </w:r>
            <w:r w:rsidRPr="003067D4">
              <w:rPr>
                <w:rStyle w:val="af2"/>
                <w:b w:val="0"/>
                <w:sz w:val="18"/>
                <w:szCs w:val="18"/>
              </w:rPr>
      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      </w:r>
            <w:r w:rsidRPr="00D45572">
              <w:rPr>
                <w:rStyle w:val="af2"/>
                <w:sz w:val="28"/>
                <w:szCs w:val="28"/>
              </w:rPr>
              <w:t xml:space="preserve"> </w:t>
            </w:r>
          </w:p>
          <w:p w:rsidR="00815889" w:rsidRPr="002339EC" w:rsidRDefault="00815889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67D4" w:rsidRPr="003067D4" w:rsidRDefault="005525A6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sz w:val="18"/>
                <w:szCs w:val="18"/>
              </w:rPr>
              <w:lastRenderedPageBreak/>
              <w:t xml:space="preserve"> </w:t>
            </w:r>
            <w:r w:rsidR="003067D4" w:rsidRPr="003067D4">
              <w:rPr>
                <w:rStyle w:val="af2"/>
                <w:b w:val="0"/>
                <w:sz w:val="18"/>
                <w:szCs w:val="18"/>
              </w:rPr>
              <w:t>Основания для отказа в предоставлении муниципальной услуги: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1)при письменном обращении (в том числе, переданном по электронным каналам связи) Заявителя: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несоответствие письменного обращения требованиям, указанным в пункте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2.5.2 настоящего Административного регламента;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наличие нецензурных  либо оскорбительных выражений, угрозы жизни,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здоровью и имуществу Специалиста, а также членов его семьи;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 xml:space="preserve">текст письменного обращения не </w:t>
            </w:r>
            <w:r w:rsidRPr="003067D4">
              <w:rPr>
                <w:rStyle w:val="af2"/>
                <w:b w:val="0"/>
                <w:sz w:val="18"/>
                <w:szCs w:val="18"/>
              </w:rPr>
              <w:lastRenderedPageBreak/>
              <w:t>поддается прочтению, о чем сообщается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Управление образования, общеобразовательной организации;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письменный запрос содержит вопрос, на который заявителю многократно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 xml:space="preserve">давались письменные ответы по существу в связи с ранее направляемыми запросами, и при этом в запросе не приводятся новые доводы или обстоятельства. В этом случае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</w:t>
            </w:r>
            <w:r w:rsidRPr="003067D4">
              <w:rPr>
                <w:rStyle w:val="af2"/>
                <w:b w:val="0"/>
                <w:sz w:val="18"/>
                <w:szCs w:val="18"/>
              </w:rPr>
              <w:lastRenderedPageBreak/>
              <w:t>одному и тому же исполнителю муниципальной услуги. О данном решении уведомляется гражданин, направивший запрос;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ответ по существу поставленного в обращении вопроса не может быть дан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без разглашения сведений, составляющих государственную или иную охраняемую законом тайну.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2) при устном обращении Заявителя: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несоответствие устного обращения требованиям, указанным в пункте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2.5.3 настоящего Административного регламента;</w:t>
            </w:r>
          </w:p>
          <w:p w:rsidR="003067D4" w:rsidRPr="003067D4" w:rsidRDefault="003067D4" w:rsidP="003067D4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нецензурное, либо оскорбительное обращение со Специалистом, угрозы</w:t>
            </w:r>
          </w:p>
          <w:p w:rsidR="003067D4" w:rsidRPr="003067D4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3067D4">
              <w:rPr>
                <w:rStyle w:val="af2"/>
                <w:b w:val="0"/>
                <w:sz w:val="18"/>
                <w:szCs w:val="18"/>
              </w:rPr>
              <w:t>жизни и здоровью и имуществу Специалиста, а также членов его семьи;</w:t>
            </w:r>
          </w:p>
          <w:p w:rsidR="003067D4" w:rsidRPr="00D45572" w:rsidRDefault="003067D4" w:rsidP="003067D4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28"/>
                <w:szCs w:val="28"/>
              </w:rPr>
            </w:pPr>
            <w:r w:rsidRPr="003067D4">
              <w:rPr>
                <w:rStyle w:val="af2"/>
                <w:b w:val="0"/>
                <w:color w:val="FF0000"/>
                <w:sz w:val="18"/>
                <w:szCs w:val="18"/>
              </w:rPr>
              <w:t xml:space="preserve">       </w:t>
            </w:r>
            <w:r w:rsidRPr="003067D4">
              <w:rPr>
                <w:rStyle w:val="af2"/>
                <w:b w:val="0"/>
                <w:sz w:val="18"/>
                <w:szCs w:val="18"/>
              </w:rPr>
              <w:t xml:space="preserve">- ответ по существу поставленного в обращении вопроса не может быть дан без разглашения сведений, составляющих </w:t>
            </w:r>
            <w:r w:rsidRPr="003067D4">
              <w:rPr>
                <w:rStyle w:val="af2"/>
                <w:b w:val="0"/>
                <w:sz w:val="18"/>
                <w:szCs w:val="18"/>
              </w:rPr>
              <w:lastRenderedPageBreak/>
              <w:t>государственную или иную охраняемую законом тайну</w:t>
            </w:r>
            <w:r w:rsidRPr="00D45572">
              <w:rPr>
                <w:rStyle w:val="af2"/>
                <w:sz w:val="28"/>
                <w:szCs w:val="28"/>
              </w:rPr>
              <w:t xml:space="preserve">. 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067D4" w:rsidRPr="005E0A89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67D4" w:rsidRPr="005E0A89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3067D4" w:rsidRPr="005E0A89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3E7F2B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3E7F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E7F2B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F2B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 w:rsidR="003E7F2B"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 w:rsidR="003E7F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67D4" w:rsidRPr="005E0A89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3067D4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3067D4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67D4" w:rsidRPr="005E0A89" w:rsidRDefault="003067D4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7F2B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 w:rsidR="003E7F2B"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 w:rsidR="003E7F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67D4" w:rsidRPr="005E0A89" w:rsidRDefault="003E7F2B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67D4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3067D4" w:rsidRDefault="003E7F2B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67D4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3E7F2B" w:rsidP="003067D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67D4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3E7F2B" w:rsidRPr="003E7F2B" w:rsidRDefault="003E7F2B" w:rsidP="003E7F2B">
            <w:pPr>
              <w:pStyle w:val="af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7F2B">
              <w:rPr>
                <w:sz w:val="18"/>
                <w:szCs w:val="18"/>
              </w:rPr>
              <w:t>Заявителями на предоставление муниципальной услуги являются:</w:t>
            </w:r>
          </w:p>
          <w:p w:rsidR="003E7F2B" w:rsidRPr="003E7F2B" w:rsidRDefault="003E7F2B" w:rsidP="003E7F2B">
            <w:pPr>
              <w:pStyle w:val="af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7F2B">
              <w:rPr>
                <w:sz w:val="18"/>
                <w:szCs w:val="18"/>
              </w:rPr>
              <w:t>- родители (законные представители) несовершеннолетних граждан – обучающихся, воспитанников, в интересах которых будут оказаны муниципальные образовательные услуги общеобразовательной организацией;</w:t>
            </w:r>
          </w:p>
          <w:p w:rsidR="003E7F2B" w:rsidRPr="003E7F2B" w:rsidRDefault="003E7F2B" w:rsidP="003E7F2B">
            <w:pPr>
              <w:pStyle w:val="af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7F2B">
              <w:rPr>
                <w:sz w:val="18"/>
                <w:szCs w:val="18"/>
              </w:rPr>
              <w:t xml:space="preserve">- совершеннолетние граждане, желающие освоить образовательные программы среднего (полного) общего образования в формах заочной или экстерната. </w:t>
            </w:r>
          </w:p>
          <w:p w:rsidR="00736226" w:rsidRPr="002339EC" w:rsidRDefault="00736226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Default="003E7F2B" w:rsidP="003E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6F4804" w:rsidRDefault="003E7F2B" w:rsidP="003E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323BD9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7D1BF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3E7F2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2611BC" w:rsidRDefault="003E7F2B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 об образовательных программах и учебных планах, рабочих программах учебных курсов, предметов, дисциплин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(модулей), годовых календарных учебных графиках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3E7F2B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 об образовательных программах и учебных планах, рабочих программах учебных курсов, предметов, дисциплин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(модулей), годовых календарных учебных графиках</w:t>
            </w:r>
          </w:p>
        </w:tc>
        <w:tc>
          <w:tcPr>
            <w:tcW w:w="2200" w:type="dxa"/>
          </w:tcPr>
          <w:p w:rsidR="009B1BCD" w:rsidRPr="00260B36" w:rsidRDefault="009B1BCD" w:rsidP="003E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</w:t>
            </w:r>
            <w:r w:rsidR="003E7F2B">
              <w:rPr>
                <w:rFonts w:ascii="Times New Roman" w:hAnsi="Times New Roman" w:cs="Times New Roman"/>
                <w:sz w:val="18"/>
                <w:szCs w:val="18"/>
              </w:rPr>
              <w:t xml:space="preserve">я Администрации городского округа </w:t>
            </w:r>
            <w:proofErr w:type="gramStart"/>
            <w:r w:rsidR="003E7F2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76" w:type="dxa"/>
          </w:tcPr>
          <w:p w:rsidR="009B1BCD" w:rsidRPr="00260B36" w:rsidRDefault="009B1BCD" w:rsidP="003E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3E7F2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260B36" w:rsidRDefault="003E7F2B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3E7F2B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3E7F2B">
        <w:trPr>
          <w:trHeight w:val="519"/>
        </w:trPr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3E7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 w:rsidR="003E7F2B">
              <w:rPr>
                <w:rFonts w:ascii="Times New Roman" w:hAnsi="Times New Roman" w:cs="Times New Roman"/>
                <w:sz w:val="18"/>
                <w:szCs w:val="18"/>
              </w:rPr>
              <w:t xml:space="preserve">е образования Администрации городского округа </w:t>
            </w:r>
            <w:proofErr w:type="gramStart"/>
            <w:r w:rsidR="003E7F2B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3E7F2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50596A" w:rsidRDefault="0050596A" w:rsidP="00DC464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7A70C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33" w:rsidRPr="00920E8A" w:rsidRDefault="003E7F2B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7A70C9" w:rsidRPr="005E0A89" w:rsidRDefault="00544E8B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70C9"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 w:rsidR="007A70C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A70C9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A70C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 w:rsidR="007A70C9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="007A70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70C9" w:rsidRPr="005E0A8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70C9" w:rsidRPr="005E0A8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7A70C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3E7F2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7A70C9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C3810" w:rsidRDefault="007A70C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7A70C9" w:rsidRPr="005E0A8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образования 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70C9" w:rsidRPr="005E0A8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муниципальных общеобразовательных организациях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A70C9" w:rsidRPr="005E0A8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7A70C9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7A70C9" w:rsidP="007A70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3E7F2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CE10C5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8B62DC" w:rsidRPr="008B62DC" w:rsidRDefault="008B62DC" w:rsidP="008B62DC">
            <w:pPr>
              <w:pStyle w:val="af0"/>
              <w:spacing w:before="0" w:beforeAutospacing="0" w:after="0" w:afterAutospacing="0"/>
              <w:ind w:firstLine="282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Основанием для начала административного действия по приему обращения от Заявителя, является представление Заявителем обращения в Управление образования, МОО, МФЦ: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непосредственно при личном обращении в Управление образования, общеобразовательную организацию (устное обращение Заявителя);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с использованием средств почтовой связи (письменное обращение Заявителя);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посредством передачи обращения через электронные каналы связи (письменное обращение Заявителя).</w:t>
            </w:r>
          </w:p>
          <w:p w:rsidR="008B62DC" w:rsidRP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proofErr w:type="gramStart"/>
            <w:r w:rsidRPr="008B62DC">
              <w:rPr>
                <w:rStyle w:val="af2"/>
                <w:b w:val="0"/>
                <w:sz w:val="18"/>
                <w:szCs w:val="18"/>
              </w:rPr>
              <w:t>3.5.2.При поступлении письменного обращения от Заявителя специалист Управления образования, МОО, МФЦ ответственный за прием 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начальнику Управления образования, директору общеобразовательной организации или их заместителям в соответствии с установленным в Управлении образования, общеобразовательной организации, распределением обязанностей.</w:t>
            </w:r>
            <w:proofErr w:type="gramEnd"/>
          </w:p>
          <w:p w:rsid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При устном обращении Заявителя в Управление образования, МОО, МФЦ Специалист принимает Заявителя лично.</w:t>
            </w:r>
          </w:p>
          <w:p w:rsidR="007A70C9" w:rsidRPr="007A70C9" w:rsidRDefault="007A70C9" w:rsidP="007A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70C9"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  <w:t>Приём и регистрация письменного обращения Заявителя осуществляется должностным лицом Управления образования, МОО, МФЦ, ответственным за прием и регистрацию документов</w:t>
            </w:r>
          </w:p>
          <w:p w:rsidR="00AC7BD6" w:rsidRDefault="007A70C9" w:rsidP="007A70C9">
            <w:pPr>
              <w:ind w:firstLine="3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A70C9">
              <w:rPr>
                <w:rFonts w:ascii="Times New Roman" w:hAnsi="Times New Roman"/>
                <w:sz w:val="18"/>
                <w:szCs w:val="18"/>
              </w:rPr>
      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</w:t>
            </w:r>
            <w:r w:rsidR="008B62D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8B62DC" w:rsidRP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Результатом исполнения административной процедуры при письменном обращении Заявителя, является регистрация обращения.</w:t>
            </w:r>
          </w:p>
          <w:p w:rsidR="008B62DC" w:rsidRPr="007F2B71" w:rsidRDefault="008B62DC" w:rsidP="008B62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62DC">
              <w:rPr>
                <w:rStyle w:val="af2"/>
                <w:rFonts w:ascii="Times New Roman" w:hAnsi="Times New Roman" w:cs="Times New Roman"/>
                <w:b w:val="0"/>
                <w:sz w:val="18"/>
                <w:szCs w:val="18"/>
              </w:rPr>
              <w:t>Результатом исполнения административной процедуры при устном обращении Заявителя является личный прием Заявителя Специалистом</w:t>
            </w:r>
          </w:p>
        </w:tc>
        <w:tc>
          <w:tcPr>
            <w:tcW w:w="2409" w:type="dxa"/>
          </w:tcPr>
          <w:p w:rsidR="007A70C9" w:rsidRPr="007A70C9" w:rsidRDefault="007A70C9" w:rsidP="007A70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70C9">
              <w:rPr>
                <w:rFonts w:ascii="Times New Roman" w:hAnsi="Times New Roman"/>
                <w:sz w:val="18"/>
                <w:szCs w:val="18"/>
              </w:rPr>
              <w:t xml:space="preserve"> время получения ответа при индивидуальном устном консультировании не должно превышать 15 минут;</w:t>
            </w:r>
          </w:p>
          <w:p w:rsidR="007A70C9" w:rsidRDefault="007A70C9" w:rsidP="007A70C9">
            <w:pPr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70C9">
              <w:rPr>
                <w:rFonts w:ascii="Times New Roman" w:hAnsi="Times New Roman"/>
                <w:sz w:val="18"/>
                <w:szCs w:val="18"/>
              </w:rPr>
              <w:t>максимальный срок ожидания в очереди для заявителя не должен превышать 15 минут.</w:t>
            </w:r>
          </w:p>
          <w:p w:rsidR="008B62DC" w:rsidRPr="007A70C9" w:rsidRDefault="008B62DC" w:rsidP="008B62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3-х дней</w:t>
            </w:r>
          </w:p>
          <w:p w:rsidR="001B0DD1" w:rsidRPr="007F2B71" w:rsidRDefault="001B0DD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2206" w:rsidRPr="007F2B71" w:rsidRDefault="007A70C9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муниципальные общеобразовательные организации,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2627" w:rsidRPr="00074E46" w:rsidRDefault="007A70C9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8B62DC" w:rsidRPr="008B62DC" w:rsidRDefault="00741D15" w:rsidP="008B62DC">
            <w:pPr>
              <w:pStyle w:val="af0"/>
              <w:spacing w:before="0" w:beforeAutospacing="0" w:after="0" w:afterAutospacing="0"/>
              <w:ind w:firstLine="282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0D60CD">
              <w:rPr>
                <w:sz w:val="18"/>
                <w:szCs w:val="18"/>
              </w:rPr>
              <w:t> </w:t>
            </w:r>
            <w:r w:rsidR="008B62DC" w:rsidRPr="008B62DC">
              <w:rPr>
                <w:rStyle w:val="af2"/>
                <w:b w:val="0"/>
                <w:sz w:val="18"/>
                <w:szCs w:val="18"/>
              </w:rPr>
              <w:t>Основанием для начала административного действия по приему обращения от Заявителя, является представление Заявителем обращения в Управление образования, МОО, МФЦ: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 xml:space="preserve">непосредственно при личном обращении в Управление образования, </w:t>
            </w:r>
            <w:r w:rsidRPr="008B62DC">
              <w:rPr>
                <w:rStyle w:val="af2"/>
                <w:b w:val="0"/>
                <w:sz w:val="18"/>
                <w:szCs w:val="18"/>
              </w:rPr>
              <w:lastRenderedPageBreak/>
              <w:t>общеобразовательную организацию (устное обращение Заявителя);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с использованием средств почтовой связи (письменное обращение Заявителя);</w:t>
            </w:r>
          </w:p>
          <w:p w:rsid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посредством передачи обращения через электронные каналы связи (письменное обращение Заявителя).</w:t>
            </w:r>
          </w:p>
          <w:p w:rsidR="008B62DC" w:rsidRP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В случае наличия оснований, предусмотренных пунктом 2.6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3.6.4.В случае отсутствия причин для отказа в предоставлении муниципальной услуги, изложенных в пункте 2.6 настоящего Административного рег</w:t>
            </w:r>
            <w:r>
              <w:rPr>
                <w:rStyle w:val="af2"/>
                <w:b w:val="0"/>
                <w:sz w:val="18"/>
                <w:szCs w:val="18"/>
              </w:rPr>
              <w:t xml:space="preserve">ламента, Специалист переходит к </w:t>
            </w:r>
            <w:r w:rsidRPr="008B62DC">
              <w:rPr>
                <w:rStyle w:val="af2"/>
                <w:b w:val="0"/>
                <w:sz w:val="18"/>
                <w:szCs w:val="18"/>
              </w:rPr>
              <w:t>исполнению следующей административной процедуры</w:t>
            </w:r>
            <w:r w:rsidRPr="00D45572">
              <w:rPr>
                <w:rStyle w:val="af2"/>
                <w:sz w:val="28"/>
                <w:szCs w:val="28"/>
              </w:rPr>
              <w:t>.</w:t>
            </w:r>
          </w:p>
          <w:p w:rsidR="008B62DC" w:rsidRP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Специалист проводит сбор,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      </w:r>
          </w:p>
          <w:p w:rsidR="008B62DC" w:rsidRP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По окончании подготовки информации  Специалист передает подготовленный ответ для его подписания руководителю Управления образования, руководителю общеобразовательного учреждения либо их заместителям (при письменном обращении).</w:t>
            </w:r>
          </w:p>
          <w:p w:rsidR="008B62DC" w:rsidRPr="008B62DC" w:rsidRDefault="008B62DC" w:rsidP="008B62DC">
            <w:pPr>
              <w:pStyle w:val="af0"/>
              <w:spacing w:before="0" w:beforeAutospacing="0" w:after="0" w:afterAutospacing="0"/>
              <w:jc w:val="both"/>
              <w:rPr>
                <w:rStyle w:val="af2"/>
                <w:b w:val="0"/>
                <w:sz w:val="18"/>
                <w:szCs w:val="18"/>
              </w:rPr>
            </w:pPr>
            <w:r w:rsidRPr="008B62DC">
              <w:rPr>
                <w:rStyle w:val="af2"/>
                <w:b w:val="0"/>
                <w:sz w:val="18"/>
                <w:szCs w:val="18"/>
              </w:rPr>
              <w:t>3.8.2.Подписанный ответ регистрируется и направляется Заявителю (при письменном обращении Заявителя)  либо Специалист предоставляет информационные (справочные) материалы лично Заявителю (при устном обращении Заявителя).</w:t>
            </w:r>
          </w:p>
          <w:p w:rsidR="008B62DC" w:rsidRPr="008B62DC" w:rsidRDefault="008B62DC" w:rsidP="008B62D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ind w:left="0" w:hanging="426"/>
              <w:jc w:val="both"/>
              <w:rPr>
                <w:rStyle w:val="af2"/>
                <w:b w:val="0"/>
                <w:sz w:val="18"/>
                <w:szCs w:val="18"/>
              </w:rPr>
            </w:pPr>
          </w:p>
          <w:p w:rsidR="00052627" w:rsidRPr="00074E46" w:rsidRDefault="000526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46652" w:rsidRPr="00074E46" w:rsidRDefault="00B46652" w:rsidP="008B62DC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Обращения рассматриваются в течение 30 календарных дней со дня регистрации заявления.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</w:p>
        </w:tc>
        <w:tc>
          <w:tcPr>
            <w:tcW w:w="1134" w:type="dxa"/>
          </w:tcPr>
          <w:p w:rsidR="00F12206" w:rsidRPr="00074E46" w:rsidRDefault="007A70C9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Муниципальные образовательные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7A70C9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B2667F" w:rsidRPr="00F15F68" w:rsidTr="00AA2FAA">
        <w:tc>
          <w:tcPr>
            <w:tcW w:w="1951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B2667F" w:rsidRPr="00F15F68" w:rsidTr="00AA2FAA">
        <w:tc>
          <w:tcPr>
            <w:tcW w:w="1951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2667F" w:rsidRPr="00F15F68" w:rsidRDefault="00B2667F" w:rsidP="00AA2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2667F" w:rsidRPr="00F15F68" w:rsidTr="00AA2FAA">
        <w:trPr>
          <w:trHeight w:val="3374"/>
        </w:trPr>
        <w:tc>
          <w:tcPr>
            <w:tcW w:w="1951" w:type="dxa"/>
            <w:shd w:val="clear" w:color="auto" w:fill="auto"/>
          </w:tcPr>
          <w:p w:rsidR="00B2667F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 Администрации городского округа Верхотурский -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http://verhobr.my1.ru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2667F" w:rsidRPr="0099085D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сайты общеобразовательных организаций, предоставляющих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2667F" w:rsidRPr="0099085D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2667F" w:rsidRPr="00F15F68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B2667F" w:rsidRPr="00C47B10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667F" w:rsidRPr="00C47B10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2667F" w:rsidRPr="002908BC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B2667F" w:rsidRPr="002908BC" w:rsidRDefault="00B2667F" w:rsidP="00AA2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shd w:val="clear" w:color="auto" w:fill="auto"/>
          </w:tcPr>
          <w:p w:rsidR="00B2667F" w:rsidRPr="002908BC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общеобразовательных организаций, предоставляющих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услугу;</w:t>
            </w:r>
          </w:p>
          <w:p w:rsidR="00B2667F" w:rsidRPr="00835EAA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uobrazovanie</w:t>
            </w:r>
            <w:proofErr w:type="spellEnd"/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2667F" w:rsidRPr="002908BC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t xml:space="preserve"> 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http://adm-verhotury.ru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667F" w:rsidRPr="002908BC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6B2608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spellEnd"/>
            <w:r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2667F" w:rsidRPr="002908BC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B2667F" w:rsidRPr="002908BC" w:rsidRDefault="00B2667F" w:rsidP="00AA2FAA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3CE" w:rsidRPr="00B2730C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B2730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0596A" w:rsidRPr="00B2730C" w:rsidRDefault="0050596A" w:rsidP="005059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96A" w:rsidRPr="0050596A" w:rsidRDefault="0050596A" w:rsidP="0050596A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7F" w:rsidRPr="00B2730C" w:rsidRDefault="00B2667F" w:rsidP="00B2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B2667F" w:rsidRDefault="00B2667F" w:rsidP="00B2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комплекты документов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2126"/>
        <w:gridCol w:w="2268"/>
        <w:gridCol w:w="2268"/>
        <w:gridCol w:w="1559"/>
        <w:gridCol w:w="992"/>
      </w:tblGrid>
      <w:tr w:rsidR="00B2667F" w:rsidRPr="00F02C07" w:rsidTr="00AA2FAA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(либо наименование) заявителя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дата запроса на организацию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комплекте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B84162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2667F" w:rsidRPr="00F02C07" w:rsidTr="00AA2FA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7F" w:rsidRPr="00F02C07" w:rsidTr="00AA2FAA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67F" w:rsidRPr="00F02C07" w:rsidTr="00AA2FAA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67F" w:rsidRPr="00F02C07" w:rsidRDefault="00B2667F" w:rsidP="00AA2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7F" w:rsidRPr="00F02C07" w:rsidRDefault="00B2667F" w:rsidP="00B2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730C" w:rsidRDefault="00B2730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730C" w:rsidRDefault="00B2730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Pr="00EE58AA" w:rsidRDefault="0050596A" w:rsidP="0050596A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50596A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0596A" w:rsidRPr="00DF4F33" w:rsidRDefault="0050596A" w:rsidP="005059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50596A" w:rsidRPr="00DF4F33" w:rsidRDefault="0050596A" w:rsidP="005059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50596A" w:rsidRPr="00DF4F33" w:rsidRDefault="0050596A" w:rsidP="005059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50596A" w:rsidRPr="00DF4F33" w:rsidTr="00621089">
        <w:trPr>
          <w:jc w:val="center"/>
        </w:trPr>
        <w:tc>
          <w:tcPr>
            <w:tcW w:w="8026" w:type="dxa"/>
          </w:tcPr>
          <w:p w:rsidR="0050596A" w:rsidRPr="00734980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0596A" w:rsidRDefault="0050596A" w:rsidP="0050596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50596A" w:rsidRDefault="0050596A" w:rsidP="0050596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50596A" w:rsidRPr="00734980" w:rsidRDefault="0050596A" w:rsidP="0050596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50596A" w:rsidRPr="00DF4F33" w:rsidRDefault="00387BE4" w:rsidP="0050596A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33" style="position:absolute;z-index:251663872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50596A" w:rsidRPr="00DF4F33" w:rsidTr="00621089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A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0596A" w:rsidRPr="008354B7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50596A" w:rsidRPr="00DF4F33" w:rsidRDefault="00387BE4" w:rsidP="0050596A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5" style="position:absolute;z-index:251665920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50596A" w:rsidRPr="00DF4F33" w:rsidTr="00621089">
        <w:trPr>
          <w:trHeight w:val="125"/>
        </w:trPr>
        <w:tc>
          <w:tcPr>
            <w:tcW w:w="7471" w:type="dxa"/>
          </w:tcPr>
          <w:p w:rsidR="0050596A" w:rsidRDefault="0050596A" w:rsidP="00621089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50596A" w:rsidRDefault="0050596A" w:rsidP="0062108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6A" w:rsidRDefault="0050596A" w:rsidP="00621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  <w:proofErr w:type="gramEnd"/>
          </w:p>
          <w:p w:rsidR="0050596A" w:rsidRPr="00DF4F33" w:rsidRDefault="0050596A" w:rsidP="00621089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50596A" w:rsidRPr="00DF4F33" w:rsidRDefault="0050596A" w:rsidP="0050596A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50596A" w:rsidRPr="00DF4F33" w:rsidRDefault="0050596A" w:rsidP="0050596A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50596A" w:rsidRPr="00DF4F33" w:rsidRDefault="0050596A" w:rsidP="0050596A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50596A" w:rsidRDefault="00387BE4" w:rsidP="0050596A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34" style="position:absolute;flip:x;z-index:251664896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50596A" w:rsidRPr="00DF4F33" w:rsidTr="00621089">
        <w:trPr>
          <w:trHeight w:val="1002"/>
          <w:jc w:val="center"/>
        </w:trPr>
        <w:tc>
          <w:tcPr>
            <w:tcW w:w="9954" w:type="dxa"/>
          </w:tcPr>
          <w:p w:rsidR="0050596A" w:rsidRDefault="0050596A" w:rsidP="00621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50596A" w:rsidRPr="00DF4F33" w:rsidRDefault="0050596A" w:rsidP="00621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информации, необходимой 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0596A" w:rsidRPr="00DF4F33" w:rsidRDefault="00387BE4" w:rsidP="0050596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87BE4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31" style="position:absolute;left:0;text-align:left;z-index:251661824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32" style="position:absolute;left:0;text-align:left;z-index:251662848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50596A" w:rsidRPr="00DF4F33" w:rsidTr="00621089">
        <w:trPr>
          <w:trHeight w:val="552"/>
        </w:trPr>
        <w:tc>
          <w:tcPr>
            <w:tcW w:w="5245" w:type="dxa"/>
          </w:tcPr>
          <w:p w:rsidR="0050596A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50596A" w:rsidRPr="00AE14D4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50596A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50596A" w:rsidRPr="00DF4F33" w:rsidRDefault="0050596A" w:rsidP="006210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50596A" w:rsidRDefault="0050596A" w:rsidP="00505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6A" w:rsidRPr="00DF4F33" w:rsidRDefault="0050596A" w:rsidP="00505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6A" w:rsidRDefault="0050596A" w:rsidP="0050596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96A" w:rsidRDefault="0050596A" w:rsidP="0050596A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96A" w:rsidRPr="00F02C07" w:rsidRDefault="0050596A" w:rsidP="0050596A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6A" w:rsidRDefault="0050596A" w:rsidP="00505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96A" w:rsidRPr="00B2730C" w:rsidRDefault="005059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0596A" w:rsidRPr="00B2730C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F0" w:rsidRDefault="006063F0" w:rsidP="00FD06CE">
      <w:pPr>
        <w:spacing w:after="0" w:line="240" w:lineRule="auto"/>
      </w:pPr>
      <w:r>
        <w:separator/>
      </w:r>
    </w:p>
  </w:endnote>
  <w:endnote w:type="continuationSeparator" w:id="0">
    <w:p w:rsidR="006063F0" w:rsidRDefault="006063F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F0" w:rsidRDefault="006063F0" w:rsidP="00FD06CE">
      <w:pPr>
        <w:spacing w:after="0" w:line="240" w:lineRule="auto"/>
      </w:pPr>
      <w:r>
        <w:separator/>
      </w:r>
    </w:p>
  </w:footnote>
  <w:footnote w:type="continuationSeparator" w:id="0">
    <w:p w:rsidR="006063F0" w:rsidRDefault="006063F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7A70C9" w:rsidRDefault="00387BE4" w:rsidP="00260B36">
        <w:pPr>
          <w:pStyle w:val="ac"/>
          <w:jc w:val="center"/>
        </w:pPr>
        <w:fldSimple w:instr="PAGE   \* MERGEFORMAT">
          <w:r w:rsidR="00B2730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B58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6153"/>
    <w:multiLevelType w:val="hybridMultilevel"/>
    <w:tmpl w:val="0882DD54"/>
    <w:lvl w:ilvl="0" w:tplc="909E9F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4EB8"/>
    <w:multiLevelType w:val="hybridMultilevel"/>
    <w:tmpl w:val="4F803CF2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D608A7"/>
    <w:multiLevelType w:val="hybridMultilevel"/>
    <w:tmpl w:val="4732AD30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03C9F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A281A"/>
    <w:rsid w:val="000C52CA"/>
    <w:rsid w:val="000D168A"/>
    <w:rsid w:val="000D60CD"/>
    <w:rsid w:val="000E43E5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C6DD2"/>
    <w:rsid w:val="002E169B"/>
    <w:rsid w:val="003067D4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87BE4"/>
    <w:rsid w:val="00390B6F"/>
    <w:rsid w:val="003A7F0B"/>
    <w:rsid w:val="003B546B"/>
    <w:rsid w:val="003C2843"/>
    <w:rsid w:val="003C4C77"/>
    <w:rsid w:val="003D54FD"/>
    <w:rsid w:val="003E0EBF"/>
    <w:rsid w:val="003E7F2B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596A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63F0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27CE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46CF9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A70C9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1388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64207"/>
    <w:rsid w:val="00870895"/>
    <w:rsid w:val="008708B4"/>
    <w:rsid w:val="0087137E"/>
    <w:rsid w:val="00872201"/>
    <w:rsid w:val="00872FA5"/>
    <w:rsid w:val="008B37CE"/>
    <w:rsid w:val="008B62DC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AD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667F"/>
    <w:rsid w:val="00B27189"/>
    <w:rsid w:val="00B2730C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22C3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rmal (Web)"/>
    <w:aliases w:val="Знак"/>
    <w:basedOn w:val="a"/>
    <w:link w:val="af1"/>
    <w:unhideWhenUsed/>
    <w:qFormat/>
    <w:rsid w:val="0030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3067D4"/>
    <w:rPr>
      <w:b/>
      <w:bCs/>
    </w:rPr>
  </w:style>
  <w:style w:type="character" w:customStyle="1" w:styleId="af1">
    <w:name w:val="Обычный (веб) Знак"/>
    <w:aliases w:val="Знак Знак"/>
    <w:link w:val="af0"/>
    <w:locked/>
    <w:rsid w:val="00306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90D6-817F-4D5D-AC2A-188B8567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9</cp:revision>
  <cp:lastPrinted>2017-03-13T08:39:00Z</cp:lastPrinted>
  <dcterms:created xsi:type="dcterms:W3CDTF">2017-03-10T03:31:00Z</dcterms:created>
  <dcterms:modified xsi:type="dcterms:W3CDTF">2017-03-13T08:39:00Z</dcterms:modified>
</cp:coreProperties>
</file>