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6" w:rsidRDefault="00CB39F6" w:rsidP="00CB39F6">
      <w:pPr>
        <w:pStyle w:val="ConsPlusNormal"/>
        <w:ind w:firstLine="540"/>
        <w:jc w:val="center"/>
        <w:rPr>
          <w:b/>
        </w:rPr>
      </w:pPr>
      <w:r w:rsidRPr="00CB39F6">
        <w:rPr>
          <w:b/>
        </w:rPr>
        <w:t>Заготовка древесины</w:t>
      </w:r>
      <w:r w:rsidRPr="00CB39F6">
        <w:t xml:space="preserve"> </w:t>
      </w:r>
      <w:r>
        <w:t xml:space="preserve"> </w:t>
      </w:r>
      <w:bookmarkStart w:id="0" w:name="_GoBack"/>
      <w:proofErr w:type="gramStart"/>
      <w:r w:rsidRPr="00CB39F6">
        <w:rPr>
          <w:b/>
        </w:rPr>
        <w:t>в</w:t>
      </w:r>
      <w:bookmarkEnd w:id="0"/>
      <w:proofErr w:type="gramEnd"/>
      <w:r>
        <w:t xml:space="preserve"> </w:t>
      </w:r>
      <w:r w:rsidRPr="00CB39F6">
        <w:rPr>
          <w:b/>
        </w:rPr>
        <w:t>защитных лесов</w:t>
      </w:r>
    </w:p>
    <w:p w:rsidR="00CB39F6" w:rsidRPr="00CB39F6" w:rsidRDefault="00CB39F6" w:rsidP="00CB39F6">
      <w:pPr>
        <w:pStyle w:val="ConsPlusNormal"/>
        <w:ind w:firstLine="540"/>
        <w:jc w:val="center"/>
        <w:rPr>
          <w:b/>
        </w:rPr>
      </w:pPr>
    </w:p>
    <w:p w:rsidR="00CB39F6" w:rsidRDefault="00CB39F6">
      <w:pPr>
        <w:pStyle w:val="ConsPlusNormal"/>
        <w:ind w:firstLine="540"/>
        <w:jc w:val="both"/>
      </w:pPr>
      <w:proofErr w:type="gramStart"/>
      <w:r>
        <w:t xml:space="preserve">Заготовка древесины осуществляется в эксплуатационных лесах, защитных лесах, если иное не предусмотрено </w:t>
      </w:r>
      <w:hyperlink r:id="rId5">
        <w:r>
          <w:rPr>
            <w:color w:val="0000FF"/>
          </w:rPr>
          <w:t>ЛК</w:t>
        </w:r>
      </w:hyperlink>
      <w:r>
        <w:t xml:space="preserve"> РФ, другими федеральными законами; для заготовки древесины предоставляются в первую очередь погибшие, поврежденные и перестойные лесные насаждения; запрещается заготовка древесины в объеме, превышающем расчетную лесосеку (допустимый объем изъятия древесины), а также с нарушением возрастов рубок (</w:t>
      </w:r>
      <w:hyperlink r:id="rId6">
        <w:r>
          <w:rPr>
            <w:color w:val="0000FF"/>
          </w:rPr>
          <w:t>части 2</w:t>
        </w:r>
      </w:hyperlink>
      <w:r>
        <w:t xml:space="preserve"> - </w:t>
      </w:r>
      <w:hyperlink r:id="rId7">
        <w:r>
          <w:rPr>
            <w:color w:val="0000FF"/>
          </w:rPr>
          <w:t>4 статьи 29</w:t>
        </w:r>
      </w:hyperlink>
      <w:r>
        <w:t xml:space="preserve"> ЛК РФ).</w:t>
      </w:r>
      <w:proofErr w:type="gramEnd"/>
    </w:p>
    <w:p w:rsidR="00CB39F6" w:rsidRDefault="00CB39F6">
      <w:pPr>
        <w:pStyle w:val="ConsPlusNormal"/>
        <w:spacing w:before="200"/>
        <w:ind w:firstLine="540"/>
        <w:jc w:val="both"/>
      </w:pPr>
      <w:hyperlink r:id="rId8">
        <w:proofErr w:type="gramStart"/>
        <w:r>
          <w:rPr>
            <w:color w:val="0000FF"/>
          </w:rPr>
          <w:t>Пунктом 4</w:t>
        </w:r>
      </w:hyperlink>
      <w:r>
        <w:t xml:space="preserve"> Правил заготовки древесины и особенностей заготовки древесины в лесничествах, указанных в статье 23 Лесного кодекса Российской Федерации, утвержденных приказом Минприроды России от 1 декабря 2020 г. N 993, установлено, что заготовка древесины осуществляется в соответствии с приведенными </w:t>
      </w:r>
      <w:hyperlink r:id="rId9">
        <w:r>
          <w:rPr>
            <w:color w:val="0000FF"/>
          </w:rPr>
          <w:t>правилами</w:t>
        </w:r>
      </w:hyperlink>
      <w:r>
        <w:t>, лесным планом субъекта Российской Федерации, лесохозяйственным регламентом лесничества, а также проектом освоения лесов и лесной декларацией (за исключением указанных в</w:t>
      </w:r>
      <w:proofErr w:type="gramEnd"/>
      <w:r>
        <w:t xml:space="preserve"> данной </w:t>
      </w:r>
      <w:hyperlink r:id="rId10">
        <w:r>
          <w:rPr>
            <w:color w:val="0000FF"/>
          </w:rPr>
          <w:t>норме</w:t>
        </w:r>
      </w:hyperlink>
      <w:r>
        <w:t xml:space="preserve"> случаев).</w:t>
      </w:r>
    </w:p>
    <w:p w:rsidR="00CB39F6" w:rsidRDefault="00CB39F6">
      <w:pPr>
        <w:pStyle w:val="ConsPlusNormal"/>
        <w:spacing w:before="200"/>
        <w:ind w:firstLine="540"/>
        <w:jc w:val="both"/>
      </w:pPr>
      <w:r>
        <w:t xml:space="preserve">В силу </w:t>
      </w:r>
      <w:hyperlink r:id="rId11">
        <w:r>
          <w:rPr>
            <w:color w:val="0000FF"/>
          </w:rPr>
          <w:t>части 1 статьи 10</w:t>
        </w:r>
      </w:hyperlink>
      <w:r>
        <w:t xml:space="preserve"> ЛК РФ леса, расположенные на землях лесного фонда, по целевому назначению подразделяются на защитные леса, эксплуатационные леса и резервные леса.</w:t>
      </w:r>
    </w:p>
    <w:p w:rsidR="00CB39F6" w:rsidRDefault="00CB39F6">
      <w:pPr>
        <w:pStyle w:val="ConsPlusNormal"/>
        <w:spacing w:before="200"/>
        <w:ind w:firstLine="540"/>
        <w:jc w:val="both"/>
      </w:pPr>
      <w:r>
        <w:t>К защитным лесам относятся леса, которые являются природными объектами, имеющими особо ценное значение, и в отношении которых устанавливается особый правовой режим использования, охраны, защиты, воспроизводства лесов (</w:t>
      </w:r>
      <w:hyperlink r:id="rId12">
        <w:r>
          <w:rPr>
            <w:color w:val="0000FF"/>
          </w:rPr>
          <w:t>часть 1 статьи 111</w:t>
        </w:r>
      </w:hyperlink>
      <w:r>
        <w:t xml:space="preserve"> ЛК РФ).</w:t>
      </w:r>
    </w:p>
    <w:p w:rsidR="00CB39F6" w:rsidRDefault="00CB39F6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Частью 2 статьи 111</w:t>
        </w:r>
      </w:hyperlink>
      <w:r>
        <w:t xml:space="preserve"> ЛК РФ определены категории защитных лесов, к которым отнесены, в частности, леса, расположенные на особо охраняемых природных территориях, а также леса, расположенные в </w:t>
      </w:r>
      <w:proofErr w:type="spellStart"/>
      <w:r>
        <w:t>водоохранных</w:t>
      </w:r>
      <w:proofErr w:type="spellEnd"/>
      <w:r>
        <w:t xml:space="preserve"> зонах, леса, выполняющие функции защиты природных и иных объектов, ценные леса, городские леса.</w:t>
      </w:r>
    </w:p>
    <w:p w:rsidR="00CB39F6" w:rsidRDefault="00CB39F6">
      <w:pPr>
        <w:pStyle w:val="ConsPlusNormal"/>
        <w:spacing w:before="200"/>
        <w:ind w:firstLine="540"/>
        <w:jc w:val="both"/>
      </w:pPr>
      <w:r>
        <w:t>Лесами, расположенными на особо охраняемых природных территориях, признаются леса на территориях государственных природных заповедников, национальных парков, природных парков, памятников природы, государственных природных заказников и на иных установленных федеральными законами особо охраняемых природных территориях (</w:t>
      </w:r>
      <w:hyperlink r:id="rId14">
        <w:r>
          <w:rPr>
            <w:color w:val="0000FF"/>
          </w:rPr>
          <w:t>часть 1 статьи 112</w:t>
        </w:r>
      </w:hyperlink>
      <w:r>
        <w:t xml:space="preserve"> ЛК РФ).</w:t>
      </w:r>
    </w:p>
    <w:p w:rsidR="00CB39F6" w:rsidRDefault="00CB39F6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r:id="rId15">
        <w:r>
          <w:rPr>
            <w:color w:val="0000FF"/>
          </w:rPr>
          <w:t>статье 2</w:t>
        </w:r>
      </w:hyperlink>
      <w:r>
        <w:t xml:space="preserve"> Федерального закона от 14 марта 1995 г. N 33-ФЗ "Об особо охраняемых природных территориях" (далее - Федеральный закон N 33-ФЗ) перечислены категории особо охраняемых природных территорий, к которым относятся государственные природные заповедники, в том числе биосферные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сады.</w:t>
      </w:r>
      <w:proofErr w:type="gramEnd"/>
    </w:p>
    <w:p w:rsidR="00CB39F6" w:rsidRDefault="00CB39F6">
      <w:pPr>
        <w:pStyle w:val="ConsPlusNormal"/>
        <w:spacing w:before="200"/>
        <w:ind w:firstLine="540"/>
        <w:jc w:val="both"/>
      </w:pPr>
      <w:proofErr w:type="gramStart"/>
      <w:r>
        <w:t xml:space="preserve">Исходя из принципа соблюдения целевого назначения лесов и выполняемых ими полезных функций, Лесной кодекс Российской Федерации в </w:t>
      </w:r>
      <w:hyperlink r:id="rId16">
        <w:r>
          <w:rPr>
            <w:color w:val="0000FF"/>
          </w:rPr>
          <w:t>части 4 статьи 12</w:t>
        </w:r>
      </w:hyperlink>
      <w:r>
        <w:t xml:space="preserve"> установил, что защитные леса подлежат освоению в целях сохранения </w:t>
      </w:r>
      <w:proofErr w:type="spellStart"/>
      <w:r>
        <w:t>средообразующих</w:t>
      </w:r>
      <w:proofErr w:type="spellEnd"/>
      <w:r>
        <w:t xml:space="preserve">, </w:t>
      </w:r>
      <w:proofErr w:type="spellStart"/>
      <w:r>
        <w:t>водоохранных</w:t>
      </w:r>
      <w:proofErr w:type="spellEnd"/>
      <w: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  <w:proofErr w:type="gramEnd"/>
    </w:p>
    <w:p w:rsidR="00CB39F6" w:rsidRDefault="00CB39F6">
      <w:pPr>
        <w:pStyle w:val="ConsPlusNormal"/>
        <w:spacing w:before="200"/>
        <w:ind w:firstLine="540"/>
        <w:jc w:val="both"/>
      </w:pPr>
      <w:r>
        <w:t xml:space="preserve">В настоящее время условия и ограничения освоения защитных лесов, осуществления в них определенных видов деятельности, в том числе осуществления заготовки древесины (рубок лесных насаждений), урегулированы нормами </w:t>
      </w:r>
      <w:hyperlink r:id="rId17">
        <w:r>
          <w:rPr>
            <w:color w:val="0000FF"/>
          </w:rPr>
          <w:t>главы 17</w:t>
        </w:r>
      </w:hyperlink>
      <w:r>
        <w:t xml:space="preserve"> ЛК РФ, а также законодательством о правовом режиме особо охраняемых природных территорий.</w:t>
      </w:r>
    </w:p>
    <w:sectPr w:rsidR="00CB39F6" w:rsidSect="0053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6"/>
    <w:rsid w:val="000C4DC9"/>
    <w:rsid w:val="00C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99930D2837641E3080B8C1DEE4B5F44D81DBC92CC55F9B0E3C3A2EC65DA64F37E9CAEF7E0D3733749A83B931CE0A1A8652E5FD5033665m9pDG" TargetMode="External"/><Relationship Id="rId13" Type="http://schemas.openxmlformats.org/officeDocument/2006/relationships/hyperlink" Target="consultantplus://offline/ref=78D99930D2837641E3080B8C1DEE4B5F44D618B994C955F9B0E3C3A2EC65DA64F37E9CAEF7E0D47B6213B83FDA4AEDBCA8723054CB03m3p4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99930D2837641E3080B8C1DEE4B5F44D618B994C955F9B0E3C3A2EC65DA64F37E9CADF5E6D8246706A967D449F3A2A1652C56C9m0p3G" TargetMode="External"/><Relationship Id="rId12" Type="http://schemas.openxmlformats.org/officeDocument/2006/relationships/hyperlink" Target="consultantplus://offline/ref=78D99930D2837641E3080B8C1DEE4B5F44D618B994C955F9B0E3C3A2EC65DA64F37E9CAEF7E0D57B6213B83FDA4AEDBCA8723054CB03m3p4G" TargetMode="External"/><Relationship Id="rId17" Type="http://schemas.openxmlformats.org/officeDocument/2006/relationships/hyperlink" Target="consultantplus://offline/ref=78D99930D2837641E3080B8C1DEE4B5F44D618B994C955F9B0E3C3A2EC65DA64F37E9CAEF7E0D37B6213B83FDA4AEDBCA8723054CB03m3p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D99930D2837641E3080B8C1DEE4B5F44D618B994C955F9B0E3C3A2EC65DA64F37E9CAEF7E0D3763249A83B931CE0A1A8652E5FD5033665m9p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99930D2837641E3080B8C1DEE4B5F44D618B994C955F9B0E3C3A2EC65DA64F37E9CADF5E4D8246706A967D449F3A2A1652C56C9m0p3G" TargetMode="External"/><Relationship Id="rId11" Type="http://schemas.openxmlformats.org/officeDocument/2006/relationships/hyperlink" Target="consultantplus://offline/ref=78D99930D2837641E3080B8C1DEE4B5F44D618B994C955F9B0E3C3A2EC65DA64F37E9CA6F4E7D8246706A967D449F3A2A1652C56C9m0p3G" TargetMode="External"/><Relationship Id="rId5" Type="http://schemas.openxmlformats.org/officeDocument/2006/relationships/hyperlink" Target="consultantplus://offline/ref=78D99930D2837641E3080B8C1DEE4B5F44D618B994C955F9B0E3C3A2EC65DA64E17EC4A2F4E0CD703F5CFE6AD5m4pBG" TargetMode="External"/><Relationship Id="rId15" Type="http://schemas.openxmlformats.org/officeDocument/2006/relationships/hyperlink" Target="consultantplus://offline/ref=78D99930D2837641E3080B8C1DEE4B5F43DE1ABA93CC55F9B0E3C3A2EC65DA64F37E9CAEF7E0D0793649A83B931CE0A1A8652E5FD5033665m9pDG" TargetMode="External"/><Relationship Id="rId10" Type="http://schemas.openxmlformats.org/officeDocument/2006/relationships/hyperlink" Target="consultantplus://offline/ref=78D99930D2837641E3080B8C1DEE4B5F44D81DBC92CC55F9B0E3C3A2EC65DA64F37E9CAEF7E0D3733749A83B931CE0A1A8652E5FD5033665m9p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99930D2837641E3080B8C1DEE4B5F44D81DBC92CC55F9B0E3C3A2EC65DA64F37E9CAEF7E0D3713649A83B931CE0A1A8652E5FD5033665m9pDG" TargetMode="External"/><Relationship Id="rId14" Type="http://schemas.openxmlformats.org/officeDocument/2006/relationships/hyperlink" Target="consultantplus://offline/ref=78D99930D2837641E3080B8C1DEE4B5F44D618B994C955F9B0E3C3A2EC65DA64F37E9CAEF7E1DA7B6213B83FDA4AEDBCA8723054CB03m3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Ирина А. Лобанова</cp:lastModifiedBy>
  <cp:revision>1</cp:revision>
  <dcterms:created xsi:type="dcterms:W3CDTF">2022-09-30T06:41:00Z</dcterms:created>
  <dcterms:modified xsi:type="dcterms:W3CDTF">2022-09-30T06:50:00Z</dcterms:modified>
</cp:coreProperties>
</file>