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59" w:rsidRDefault="002F7159">
      <w:pPr>
        <w:pStyle w:val="ConsPlusNormal"/>
        <w:ind w:firstLine="540"/>
        <w:jc w:val="both"/>
        <w:outlineLvl w:val="0"/>
      </w:pPr>
      <w:r>
        <w:t>Статья 103. Земли запаса</w:t>
      </w:r>
    </w:p>
    <w:p w:rsidR="002F7159" w:rsidRDefault="002F7159">
      <w:pPr>
        <w:pStyle w:val="ConsPlusNormal"/>
      </w:pPr>
    </w:p>
    <w:p w:rsidR="002F7159" w:rsidRDefault="002F7159">
      <w:pPr>
        <w:pStyle w:val="ConsPlusNormal"/>
        <w:ind w:firstLine="540"/>
        <w:jc w:val="both"/>
      </w:pPr>
      <w:r>
        <w:t xml:space="preserve">1. К землям запаса относятся земли, находящиеся в государственной или муниципальной собственности и не предоставленные гражданам или юридическим лицам, за исключением земель фонда перераспределения земель, формируемого в соответствии со </w:t>
      </w:r>
      <w:hyperlink r:id="rId5" w:history="1">
        <w:r>
          <w:rPr>
            <w:color w:val="0000FF"/>
          </w:rPr>
          <w:t>статьей 80</w:t>
        </w:r>
      </w:hyperlink>
      <w:r>
        <w:t xml:space="preserve"> настоящего Кодекса.</w:t>
      </w:r>
    </w:p>
    <w:p w:rsidR="002F7159" w:rsidRDefault="002F7159">
      <w:pPr>
        <w:pStyle w:val="ConsPlusNormal"/>
        <w:ind w:firstLine="540"/>
        <w:jc w:val="both"/>
      </w:pPr>
      <w:r>
        <w:t xml:space="preserve">2. Использование земель запаса допускается после </w:t>
      </w:r>
      <w:hyperlink r:id="rId6" w:history="1">
        <w:r>
          <w:rPr>
            <w:color w:val="0000FF"/>
          </w:rPr>
          <w:t>перевода</w:t>
        </w:r>
      </w:hyperlink>
      <w:r>
        <w:t xml:space="preserve"> их в другую категорию, за исключением случаев, если земли запаса включены в границы охотничьих угодий, случаев выполнения работ, связанных с пользованием недрами на таких землях, и иных предусмотренных федеральными законами случаев.</w:t>
      </w:r>
    </w:p>
    <w:p w:rsidR="002F7159" w:rsidRDefault="002F71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24.07.2009 </w:t>
      </w:r>
      <w:hyperlink r:id="rId7" w:history="1">
        <w:r>
          <w:rPr>
            <w:color w:val="0000FF"/>
          </w:rPr>
          <w:t>N 209-ФЗ</w:t>
        </w:r>
      </w:hyperlink>
      <w:r>
        <w:t xml:space="preserve">, от 23.06.2014 </w:t>
      </w:r>
      <w:hyperlink r:id="rId8" w:history="1">
        <w:r>
          <w:rPr>
            <w:color w:val="0000FF"/>
          </w:rPr>
          <w:t>N 171-ФЗ</w:t>
        </w:r>
      </w:hyperlink>
      <w:r>
        <w:t>)</w:t>
      </w:r>
    </w:p>
    <w:p w:rsidR="002F7159" w:rsidRDefault="002F7159">
      <w:pPr>
        <w:pStyle w:val="ConsPlusNormal"/>
      </w:pPr>
      <w:hyperlink r:id="rId9" w:history="1">
        <w:r>
          <w:rPr>
            <w:i/>
            <w:color w:val="0000FF"/>
          </w:rPr>
          <w:br/>
          <w:t>ст. 103, "Земельный кодекс Российской Федерации" от 25.10.2001 N 136-ФЗ (ред. от 03.07.2016) {КонсультантПлюс}</w:t>
        </w:r>
      </w:hyperlink>
      <w:r>
        <w:br/>
      </w:r>
    </w:p>
    <w:p w:rsidR="007022A4" w:rsidRDefault="007022A4">
      <w:bookmarkStart w:id="0" w:name="_GoBack"/>
      <w:bookmarkEnd w:id="0"/>
    </w:p>
    <w:sectPr w:rsidR="007022A4" w:rsidSect="00DE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59"/>
    <w:rsid w:val="002F7159"/>
    <w:rsid w:val="0070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CBFE049D82692765DF176E78D17300DC493F4BB69A96CA8EF9D05B6E186FBDC5F769C4C1CEF97U4Z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4CBFE049D82692765DF176E78D17300DC492F2BD61A96CA8EF9D05B6E186FBDC5F769C4C1CE197U4Z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CBFE049D82692765DF176E78D17300DC493F3B461A96CA8EF9D05B6E186FBDC5F769C4C1CE798U4Z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4CBFE049D82692765DF176E78D17300DC492F1BD60A96CA8EF9D05B6E186FBDC5F769C4C1CE192U4Z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CBFE049D82692765DF176E78D17300DC492F1BD60A96CA8EF9D05B6E186FBDC5F769C4C1CEF96U4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2017-04-11T08:25:00Z</dcterms:created>
  <dcterms:modified xsi:type="dcterms:W3CDTF">2017-04-11T08:26:00Z</dcterms:modified>
</cp:coreProperties>
</file>