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городского округа Верхотурский от 11.06.2021г. № 424 «Об утверждении Порядка предоставления 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03/05/03-23/00009405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"http://regulation.midural.ru/projects#npa=9405"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http://regulation.midural.ru/projects#npa=9405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10.03.2023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07.04.2023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11.04.2023 в 8:50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