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BB" w:rsidRPr="007C36BB" w:rsidRDefault="007C36BB" w:rsidP="007C36BB">
      <w:pPr>
        <w:shd w:val="clear" w:color="auto" w:fill="FCFCF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8"/>
          <w:szCs w:val="28"/>
          <w:lang w:eastAsia="ru-RU"/>
        </w:rPr>
      </w:pPr>
      <w:r w:rsidRPr="007C36BB">
        <w:rPr>
          <w:rFonts w:ascii="Times New Roman" w:eastAsia="Times New Roman" w:hAnsi="Times New Roman" w:cs="Times New Roman"/>
          <w:b/>
          <w:bCs/>
          <w:color w:val="263238"/>
          <w:kern w:val="36"/>
          <w:sz w:val="28"/>
          <w:szCs w:val="28"/>
          <w:lang w:eastAsia="ru-RU"/>
        </w:rPr>
        <w:t>Профилактика правонарушений</w:t>
      </w:r>
    </w:p>
    <w:p w:rsidR="007C36BB" w:rsidRPr="007C36BB" w:rsidRDefault="007C36BB" w:rsidP="007C36BB">
      <w:pPr>
        <w:shd w:val="clear" w:color="auto" w:fill="FCFCFD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6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Незаконная вырубка леса - уголовная </w:t>
      </w:r>
      <w:r w:rsidRPr="007C36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административная ответственность</w:t>
      </w:r>
    </w:p>
    <w:p w:rsidR="007C36BB" w:rsidRPr="007C36BB" w:rsidRDefault="007C36BB" w:rsidP="007C36BB">
      <w:pPr>
        <w:shd w:val="clear" w:color="auto" w:fill="FCFCFD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6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В Российской Федерации процесс вырубки леса отрегулирован на законодательном уровне. Незаконная вырубка леса, в зависимости от размера причиненного ущерба, влечет административную или уголовную ответственность.   При этом</w:t>
      </w:r>
      <w:proofErr w:type="gramStart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незаконная вырубка - это повреждение деревьев до состояния прекращения их роста при отсутствии соответствующей разрешительной документации. К незаконной вырубке леса, также можно отнести и незаконно выданные разрешения и вырубки, проведенные с нарушением сроков и несоблюдением указанных пород.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      В то же время, понятие незаконной вырубки относится не ко всем деревьям. </w:t>
      </w:r>
      <w:proofErr w:type="gramStart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 примеру, растительность на своем земельном участке вы можете спиливать безо всякой разрешительной документации, а то время как за  деревья, находящиеся в муниципальной или государственной собственности (насаждения входящие в </w:t>
      </w:r>
      <w:proofErr w:type="spellStart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Гослесфонд</w:t>
      </w:r>
      <w:proofErr w:type="spellEnd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 насаждения в парках, аллеях, деревья вдоль железных и автомобильных дорог), уже придется отвечать, вне зависимости от того, были они высажены человеком или выросли самостоятельно.</w:t>
      </w:r>
      <w:proofErr w:type="gramEnd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объектам незаконной вырубки также можно отнести деревья, находящиеся на территории сельхозугодий и лесопитомников. Таким образом, получение соответствующего разрешения, в случае необходимости вырубки дерева, находящегося на муниципальной или федеральной территории, является обязательным.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      За незаконное уничтожение леса законодательством предусмотрена административная или уголовная ответственность.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      Так, в случае если сумма причиненного в результате незаконной вырубки ущерба превышает 5000 рублей, к нарушителям будут применены меры уголовной ответственности, которые четко обозначены в статье 260 Уголовного кодекса Российской Федерации.</w:t>
      </w:r>
    </w:p>
    <w:p w:rsidR="007C36BB" w:rsidRPr="007C36BB" w:rsidRDefault="007C36BB" w:rsidP="007C36B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 </w:t>
      </w:r>
      <w:r w:rsidRPr="007C36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260 УК РФ. Незаконная рубка лесных насаждений.</w:t>
      </w:r>
      <w:r w:rsidRPr="007C36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   1. Незаконная </w:t>
      </w:r>
      <w:hyperlink r:id="rId5" w:anchor="dst100039" w:history="1">
        <w:r w:rsidRPr="007C36BB">
          <w:rPr>
            <w:rFonts w:ascii="Times New Roman" w:eastAsia="Times New Roman" w:hAnsi="Times New Roman" w:cs="Times New Roman"/>
            <w:iCs/>
            <w:color w:val="3579C0"/>
            <w:sz w:val="28"/>
            <w:szCs w:val="28"/>
            <w:bdr w:val="none" w:sz="0" w:space="0" w:color="auto" w:frame="1"/>
            <w:lang w:eastAsia="ru-RU"/>
          </w:rPr>
          <w:t>рубка</w:t>
        </w:r>
      </w:hyperlink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а равно </w:t>
      </w:r>
      <w:hyperlink r:id="rId6" w:anchor="dst100042" w:history="1">
        <w:r w:rsidRPr="007C36BB">
          <w:rPr>
            <w:rFonts w:ascii="Times New Roman" w:eastAsia="Times New Roman" w:hAnsi="Times New Roman" w:cs="Times New Roman"/>
            <w:iCs/>
            <w:color w:val="3579C0"/>
            <w:sz w:val="28"/>
            <w:szCs w:val="28"/>
            <w:bdr w:val="none" w:sz="0" w:space="0" w:color="auto" w:frame="1"/>
            <w:lang w:eastAsia="ru-RU"/>
          </w:rPr>
          <w:t>повреждение</w:t>
        </w:r>
      </w:hyperlink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</w:t>
      </w:r>
      <w:proofErr w:type="gramStart"/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-н</w:t>
      </w:r>
      <w:proofErr w:type="gramEnd"/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аказываются штрафом в размере до пятисот тысяч рублей или в размере заработной платы или иного дохода осужденного за период до трех лет, либо обязательными работами на срок до четырехсот восьмидесяти часов, либо исправительными </w:t>
      </w:r>
      <w:proofErr w:type="gramStart"/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работами на срок до двух лет,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такового, либо лишением свободы на срок до двух лет со штрафом в размере от ста тысяч</w:t>
      </w:r>
      <w:proofErr w:type="gramEnd"/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 двухсот тысяч рублей или в размере заработной платы или иного дохода </w:t>
      </w:r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осужденного за период от одного года до восемнадцати месяцев или без такового.</w:t>
      </w:r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    2.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совершены:</w:t>
      </w:r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а) группой </w:t>
      </w:r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лиц;</w:t>
      </w:r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б) утратил силу.</w:t>
      </w:r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в) лицом с использованием своего служебного положения;</w:t>
      </w:r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proofErr w:type="gramStart"/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г) в крупном размере, - 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лет,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</w:t>
      </w:r>
      <w:proofErr w:type="gramEnd"/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</w:t>
      </w:r>
      <w:proofErr w:type="gramEnd"/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   3. </w:t>
      </w:r>
      <w:proofErr w:type="gramStart"/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Деяния, предусмотренные </w:t>
      </w:r>
      <w:hyperlink r:id="rId7" w:anchor="dst44" w:history="1">
        <w:r w:rsidRPr="007C36BB">
          <w:rPr>
            <w:rFonts w:ascii="Times New Roman" w:eastAsia="Times New Roman" w:hAnsi="Times New Roman" w:cs="Times New Roman"/>
            <w:iCs/>
            <w:color w:val="3579C0"/>
            <w:sz w:val="28"/>
            <w:szCs w:val="28"/>
            <w:bdr w:val="none" w:sz="0" w:space="0" w:color="auto" w:frame="1"/>
            <w:lang w:eastAsia="ru-RU"/>
          </w:rPr>
          <w:t>частями первой</w:t>
        </w:r>
      </w:hyperlink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или </w:t>
      </w:r>
      <w:hyperlink r:id="rId8" w:anchor="dst45" w:history="1">
        <w:r w:rsidRPr="007C36BB">
          <w:rPr>
            <w:rFonts w:ascii="Times New Roman" w:eastAsia="Times New Roman" w:hAnsi="Times New Roman" w:cs="Times New Roman"/>
            <w:iCs/>
            <w:color w:val="3579C0"/>
            <w:sz w:val="28"/>
            <w:szCs w:val="28"/>
            <w:bdr w:val="none" w:sz="0" w:space="0" w:color="auto" w:frame="1"/>
            <w:lang w:eastAsia="ru-RU"/>
          </w:rPr>
          <w:t>второй</w:t>
        </w:r>
      </w:hyperlink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настоящей статьи, совершенные в особо крупном размере, </w:t>
      </w:r>
      <w:hyperlink r:id="rId9" w:anchor="dst100044" w:history="1">
        <w:r w:rsidRPr="007C36BB">
          <w:rPr>
            <w:rFonts w:ascii="Times New Roman" w:eastAsia="Times New Roman" w:hAnsi="Times New Roman" w:cs="Times New Roman"/>
            <w:iCs/>
            <w:color w:val="3579C0"/>
            <w:sz w:val="28"/>
            <w:szCs w:val="28"/>
            <w:bdr w:val="none" w:sz="0" w:space="0" w:color="auto" w:frame="1"/>
            <w:lang w:eastAsia="ru-RU"/>
          </w:rPr>
          <w:t>группой</w:t>
        </w:r>
      </w:hyperlink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лиц по предварительному </w:t>
      </w:r>
      <w:hyperlink r:id="rId10" w:anchor="dst100146" w:history="1">
        <w:r w:rsidRPr="007C36BB">
          <w:rPr>
            <w:rFonts w:ascii="Times New Roman" w:eastAsia="Times New Roman" w:hAnsi="Times New Roman" w:cs="Times New Roman"/>
            <w:iCs/>
            <w:color w:val="3579C0"/>
            <w:sz w:val="28"/>
            <w:szCs w:val="28"/>
            <w:bdr w:val="none" w:sz="0" w:space="0" w:color="auto" w:frame="1"/>
            <w:lang w:eastAsia="ru-RU"/>
          </w:rPr>
          <w:t>сговору</w:t>
        </w:r>
      </w:hyperlink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или организованной группой, -  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лет, либо принудительными работами на срок до пяти лет со штрафом в размере</w:t>
      </w:r>
      <w:proofErr w:type="gramEnd"/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семи лет со штрафом в размере от трехсот тысяч</w:t>
      </w:r>
      <w:proofErr w:type="gramEnd"/>
      <w:r w:rsidRPr="007C36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7C36BB" w:rsidRPr="007C36BB" w:rsidRDefault="007C36BB" w:rsidP="007C36B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</w:t>
      </w:r>
      <w:proofErr w:type="gramStart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примечания к ст.260 УК РФ, значительным размером признается ущерб, причиненный лесным насаждениям или не отнесенным к лесным насаждениям деревьям, кустарникам и лианам, исчисленный по утвержденным Правительством Российской Федерации таксам и методике, превышающий пять тысяч рублей, крупным размером - пятьдесят тысяч рублей, особо крупным размером - сто пятьдесят тысяч рублей.</w:t>
      </w:r>
      <w:proofErr w:type="gramEnd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Согласно им 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могут применяться штрафы в размере до 500 тыс. рублей. 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За более мелкие правонарушения, совершенные при вырубке деревьев, предусмотрена административная ответственность, которая регламентируется подпунктом 28 статьи 8 Кодекса об административных правонарушениях Российской Федерации и подразумевает наложение штрафа в размере: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на граждан в размере от трех тысяч до четырех тысяч рублей;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на должностных лиц от двадцати тысяч до сорока тысяч рублей;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на юридических лиц от двухсот тысяч до трехсот тысяч рублей.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      В случаях, когда в процессе незаконной рубки </w:t>
      </w:r>
      <w:proofErr w:type="gramStart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были задействованы механизированные средства размеры штрафов существенно возрастают</w:t>
      </w:r>
      <w:proofErr w:type="gramEnd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должностных лиц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на юридических лиц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  <w:proofErr w:type="gramEnd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</w:t>
      </w:r>
      <w:proofErr w:type="gramStart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частью третьей статьи 8.28 КОАП РФ (незаконная рубка, повреждение лесных насаждений или самовольное выкапывание в лесах деревьев, кустарников, лиан) 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</w:r>
      <w:bookmarkStart w:id="0" w:name="_GoBack"/>
      <w:bookmarkEnd w:id="0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"http://www.consultant.ru/document/cons_doc_LAW_10699/9a6dce27f64ac1ebe43f62dc39f5d68f93d94803/" \l "dst1653" </w:instrTex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C36BB">
        <w:rPr>
          <w:rFonts w:ascii="Times New Roman" w:eastAsia="Times New Roman" w:hAnsi="Times New Roman" w:cs="Times New Roman"/>
          <w:color w:val="3579C0"/>
          <w:sz w:val="28"/>
          <w:szCs w:val="28"/>
          <w:bdr w:val="none" w:sz="0" w:space="0" w:color="auto" w:frame="1"/>
          <w:lang w:eastAsia="ru-RU"/>
        </w:rPr>
        <w:t>деяния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также влечет наложение административного штрафа: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на граждан в размере пяти тысяч рублей;</w:t>
      </w:r>
      <w:proofErr w:type="gramEnd"/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на должностных лиц пятидесяти тысяч рублей;</w:t>
      </w:r>
      <w:r w:rsidRPr="007C3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на юридических лиц от четырехсот тысяч до семисот тысяч рублей.</w:t>
      </w:r>
    </w:p>
    <w:p w:rsidR="007A67D7" w:rsidRPr="007C36BB" w:rsidRDefault="007A67D7">
      <w:pPr>
        <w:rPr>
          <w:rFonts w:ascii="Times New Roman" w:hAnsi="Times New Roman" w:cs="Times New Roman"/>
          <w:sz w:val="28"/>
          <w:szCs w:val="28"/>
        </w:rPr>
      </w:pPr>
    </w:p>
    <w:sectPr w:rsidR="007A67D7" w:rsidRPr="007C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BB"/>
    <w:rsid w:val="007A67D7"/>
    <w:rsid w:val="007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490624f43c387af79d52a692eec50b9da2dfa44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490624f43c387af79d52a692eec50b9da2dfa44d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6950/0000000000000000000000000000000000000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36950/0000000000000000000000000000000000000000/" TargetMode="External"/><Relationship Id="rId10" Type="http://schemas.openxmlformats.org/officeDocument/2006/relationships/hyperlink" Target="http://www.consultant.ru/document/cons_doc_LAW_136950/00000000000000000000000000000000000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6950/00000000000000000000000000000000000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Лобанова</dc:creator>
  <cp:lastModifiedBy>Ирина А. Лобанова</cp:lastModifiedBy>
  <cp:revision>1</cp:revision>
  <dcterms:created xsi:type="dcterms:W3CDTF">2022-09-30T06:28:00Z</dcterms:created>
  <dcterms:modified xsi:type="dcterms:W3CDTF">2022-09-30T06:32:00Z</dcterms:modified>
</cp:coreProperties>
</file>